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85"/>
      </w:tblGrid>
      <w:tr>
        <w:trPr>
          <w:trHeight w:hRule="atLeast" w:val="1246"/>
        </w:trP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b w:val="0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Утверждена инструкция по проведению противоаварийных работ при возникновении аварий в ходе отопительного периода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bookmarkStart w:id="1" w:name="_GoBack"/>
      <w:bookmarkEnd w:id="1"/>
      <w: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 Письмом Минстроя России от 26.01.2026 N 3018-ИФ/00 «О направлении Инструкции по проведению противоаварийных работ при возникновении аварий в ходе отопительного периода»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утверждена инструкция по проведению противоаварийных работ при возникновении аварий в ходе отопительного периода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В инструкции приведены требования к планам ликвидации аварийных ситуаций для муниципальных образований, требования к теплоснабжающим и теплосетевым организациям, требования к инструкциям по ликвидации аварий, действия персонала при авариях, сроки опорожнения систем теплоснабжения, порядок информирования о чрезвычайных ситуациях, действия диспетчерского персонала, и прочее.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0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1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8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2026-02-18T08:44:19Z</dcterms:modified>
</cp:coreProperties>
</file>